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E9" w:rsidRDefault="00194AE9" w:rsidP="00194A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KLASĖS SKAITYMO MOKYMO(SI) STRATEGIJOS APRAŠAS</w:t>
      </w:r>
    </w:p>
    <w:p w:rsidR="00194AE9" w:rsidRPr="00194AE9" w:rsidRDefault="00194AE9" w:rsidP="00194A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2A4199" w:rsidRDefault="002A4199" w:rsidP="002A4199">
      <w:pPr>
        <w:ind w:firstLine="1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Kai kurie mokytojai nesitenkina labai bendrais ilgalaikiais ugdymo planais. Juos konkretindami, detaliau numato būsimus tikslus ir darbus. </w:t>
      </w:r>
      <w:r>
        <w:rPr>
          <w:rFonts w:ascii="Times New Roman" w:hAnsi="Times New Roman"/>
          <w:sz w:val="24"/>
          <w:szCs w:val="24"/>
        </w:rPr>
        <w:t xml:space="preserve">Pavyzdžiui, galima susidaryti klasės skaitymo gebėjimų ugdymo strategijos planą pusmečiui arba metams. </w:t>
      </w:r>
      <w:r>
        <w:rPr>
          <w:rFonts w:ascii="Times New Roman" w:hAnsi="Times New Roman"/>
          <w:sz w:val="24"/>
          <w:szCs w:val="24"/>
        </w:rPr>
        <w:t>Kas tokioje strategijoje turėtų būti numatyta?</w:t>
      </w:r>
    </w:p>
    <w:p w:rsidR="002A4199" w:rsidRDefault="002A4199" w:rsidP="002A4199">
      <w:pPr>
        <w:ind w:firstLine="1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Bendresni dalykai: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skaitymo aplinkos kūrimas (skaitymo kampelis, vaizdinė medžiaga, klasės bibliotekėlė ir kt.)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skaitymo (skirti knygai) renginiai klasėje: deklamavimo valandėlės, konkursai, pasakų valandėlės, vaidinimai, „konferencijos“, knygų, žurnalų pristatymas, susitikimai su rašytojais, knygų iliustratoriais, redaktoriais, leidėjais, vyresnių klasių skaitytojais  ir kt.;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pamokos mokyklos ar kitoje bibliotekoje;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klasės išvykos į biblioteką, knygyną, teatrą, vaikų knygų šventes, muziejus, literatūrines vietas ir kt.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netradiciniai skaitymai (tėvams, šeimos nariams, jaunesniems draugams ir kt.)</w:t>
      </w:r>
    </w:p>
    <w:p w:rsidR="002A4199" w:rsidRDefault="002A4199" w:rsidP="002A4199">
      <w:pPr>
        <w:ind w:left="1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Konkretesni dalykai: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skaitymo technikos tobulinimo tikslai ir priemonės jiems įgyvendinti (ne tik svarbu numatyti pagalbą silpnesniesiems, bet  ir visus mokinius skatinti siekti geresnės skaitymo technikos, o stipriausiesiems parodyti jų dar  neišnaudotas galimybes, pvz., kaip patobulinti raiškųjį skaitymą). Labiausiai tiktų individualios užduotys: mokytojas tariasi su mokiniu, kuriuos tekstus (ištraukas) jis skaitys siekdamas gero, sklandaus skaitymo (tai gali būti ne tik vadovėlio, bet ir kitokie tekstai);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teksto suvokimo tikslai ir jų įgyvendinimas (turbūt parankiausia bus remtis vadovėliu) (skliaustuose pateikiami galimų teksto supratimo strategijų pavyzdžiai pagal D</w:t>
      </w:r>
      <w:r>
        <w:rPr>
          <w:rFonts w:ascii="Times New Roman" w:hAnsi="Times New Roman"/>
          <w:sz w:val="24"/>
          <w:szCs w:val="24"/>
        </w:rPr>
        <w:t>oug</w:t>
      </w:r>
      <w:r>
        <w:rPr>
          <w:rFonts w:ascii="Times New Roman" w:hAnsi="Times New Roman"/>
          <w:sz w:val="24"/>
          <w:szCs w:val="24"/>
        </w:rPr>
        <w:t xml:space="preserve"> Buehl</w:t>
      </w:r>
      <w:r>
        <w:rPr>
          <w:rFonts w:ascii="Times New Roman" w:hAnsi="Times New Roman"/>
          <w:sz w:val="24"/>
          <w:szCs w:val="24"/>
        </w:rPr>
        <w:t xml:space="preserve"> „Interaktyviojo mokymosi strategijos“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):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prieš kurių tekstų skaitymą bus skirtos užduotys surinkti arba prisiminti tam tikrą informaciją (naudojamasi jau įgytomis žiniomis, aktyvinimas ir dėmesio sutelkimas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su kurių tekstų autoriais bus susipažįstama išsamiau (atranka  ir sisteminimas, klausimai autoriui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kurių tekstų tema bus aptarta labai išsamiai, kada mokiniai susipažins su temos terminu ir jį pradės vartoti (veikėjų stebėjimas, galimi sakiniai ir kt.) 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kurių grožinių kūrinių (jų ištraukų) veikėjai bus aptariami detaliau: nagrinėjamas jų elgesys, veiksmai, tarpusavio santykiai, kalba, piešiami jų portretai, kuriami jų vaidmenys, raiškiai skaitomi dialogai, jiems rašomi laiškai, kiti kūrybiniai darbai (veikėjų citatos, veikėjų stebėjimas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kurių pasakojimų įvykiai sulauks didžiausio dėmesio, kodėl (įdomūs, netikėti ir t.t.), kokios įvykių schemos bus braižomos, kaip bus dirbama (atranka ir sisteminimas, teksto gidas, pasakojimo planas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kuriuose tekstuose  (ypač dalykiniuose) tiesiogiai pateiktą informaciją mokiniai suras patys, kaip ją fiksuos, panaudos praktinėje veikloje (jeigu tai įmanoma) (žinau, noriu sužinoti, sužinojau, sąvokos ir apibrėžimo schema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kurių tekstų pagrindinę mintį reikės tik rasti, o kurių aptarti ir tiksliai suformuluoti (išankstiniai orientyrai, apibendrinimas, nuodugnus klausinėjimas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kurių tekstų kalba bus analizuojama ypač kruopščiai (išsiskiria vaizdingumu, meninių priemonių gausa ar yra daug kurios nors srities specialiųjų terminų) (būdas žodžiams įsidėmėti, žodžio genialoginis medis ir kt.);</w:t>
      </w:r>
    </w:p>
    <w:p w:rsidR="002A4199" w:rsidRDefault="002A4199" w:rsidP="002A4199">
      <w:pPr>
        <w:pStyle w:val="ListParagraph"/>
        <w:ind w:left="2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kaip bus apibendrinti skaityti tekstai, kaip įvertinti mokinių požiūriu (diskusijos tinklas, paskutinį žodį suteikite man, minčių žemėlapis ir kt.).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kokie teksto kūrybiniai darbai bus siūlomi mokiniams, kaip jie bus rašomi, aptariami, vertinami (kryptingas įsivaizdavimas, požiūrio nagrinėjimo gairės, diskusija ir kt.);</w:t>
      </w:r>
    </w:p>
    <w:p w:rsidR="002A4199" w:rsidRDefault="002A4199" w:rsidP="002A419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klasės skaitymo perspektyvos numatymas.</w:t>
      </w:r>
    </w:p>
    <w:p w:rsidR="002A4199" w:rsidRDefault="002A4199" w:rsidP="002A4199">
      <w:pPr>
        <w:ind w:firstLine="1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Sudarant klasės skaitymo strategiją tikrai nebūtina paskęsti formalumuose – juk planuojama sau. Todėl tokio planavimo forma gali būti labai paprasta: mokytojas, susipažindamas su vadovėliu, kurį jis pasirinko, prie tekstų pieštuku arba lipniuose lapeliuose daro reikalingus įrašus, reikalingą informaciją pasižymi savaitiniuose planuose.</w:t>
      </w:r>
    </w:p>
    <w:p w:rsidR="00272EBB" w:rsidRDefault="00272EBB"/>
    <w:sectPr w:rsidR="00272E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166"/>
    <w:multiLevelType w:val="hybridMultilevel"/>
    <w:tmpl w:val="C60A040C"/>
    <w:lvl w:ilvl="0" w:tplc="24BA6742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5F72340"/>
    <w:multiLevelType w:val="hybridMultilevel"/>
    <w:tmpl w:val="79AC3B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9"/>
    <w:rsid w:val="00194AE9"/>
    <w:rsid w:val="00272EBB"/>
    <w:rsid w:val="002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2014-08-31T14:49:00Z</dcterms:created>
  <dcterms:modified xsi:type="dcterms:W3CDTF">2014-08-31T15:02:00Z</dcterms:modified>
</cp:coreProperties>
</file>